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45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952"/>
        <w:gridCol w:w="2736"/>
        <w:gridCol w:w="8820"/>
      </w:tblGrid>
      <w:tr xmlns:wp14="http://schemas.microsoft.com/office/word/2010/wordml" w:rsidR="00802A7A" w:rsidTr="7981E639" w14:paraId="60E81DD2" wp14:textId="77777777">
        <w:tc>
          <w:tcPr>
            <w:tcW w:w="2952" w:type="dxa"/>
            <w:tcBorders>
              <w:top w:val="single" w:color="auto" w:sz="12" w:space="0"/>
              <w:left w:val="single" w:color="auto" w:sz="12" w:space="0"/>
              <w:bottom w:val="single" w:color="auto" w:sz="12" w:space="0"/>
              <w:right w:val="single" w:color="auto" w:sz="12" w:space="0"/>
            </w:tcBorders>
            <w:tcMar/>
          </w:tcPr>
          <w:p w:rsidR="00802A7A" w:rsidRDefault="00802A7A" w14:paraId="7C670C66" wp14:textId="77777777">
            <w:pPr>
              <w:pStyle w:val="Heading1"/>
            </w:pPr>
            <w:bookmarkStart w:name="_GoBack" w:id="0"/>
            <w:bookmarkEnd w:id="0"/>
            <w:r>
              <w:t>Levels</w:t>
            </w:r>
          </w:p>
        </w:tc>
        <w:tc>
          <w:tcPr>
            <w:tcW w:w="2736" w:type="dxa"/>
            <w:tcBorders>
              <w:top w:val="single" w:color="auto" w:sz="12" w:space="0"/>
              <w:left w:val="single" w:color="auto" w:sz="12" w:space="0"/>
              <w:bottom w:val="single" w:color="auto" w:sz="12" w:space="0"/>
              <w:right w:val="single" w:color="auto" w:sz="12" w:space="0"/>
            </w:tcBorders>
            <w:tcMar/>
          </w:tcPr>
          <w:p w:rsidR="00802A7A" w:rsidRDefault="00802A7A" w14:paraId="1D45B2A5" wp14:textId="77777777">
            <w:pPr>
              <w:pStyle w:val="Heading1"/>
            </w:pPr>
            <w:smartTag w:uri="urn:schemas-microsoft-com:office:smarttags" w:element="PersonName">
              <w:r>
                <w:t>J</w:t>
              </w:r>
            </w:smartTag>
            <w:r>
              <w:t>ob Codes</w:t>
            </w:r>
          </w:p>
        </w:tc>
        <w:tc>
          <w:tcPr>
            <w:tcW w:w="8820" w:type="dxa"/>
            <w:tcBorders>
              <w:top w:val="single" w:color="auto" w:sz="12" w:space="0"/>
              <w:left w:val="single" w:color="auto" w:sz="12" w:space="0"/>
              <w:bottom w:val="single" w:color="auto" w:sz="12" w:space="0"/>
              <w:right w:val="single" w:color="auto" w:sz="12" w:space="0"/>
            </w:tcBorders>
            <w:tcMar/>
          </w:tcPr>
          <w:p w:rsidR="00802A7A" w:rsidRDefault="00802A7A" w14:paraId="26E0789B" wp14:textId="77777777">
            <w:pPr>
              <w:rPr>
                <w:b/>
                <w:bCs/>
              </w:rPr>
            </w:pPr>
            <w:r>
              <w:rPr>
                <w:b/>
                <w:bCs/>
              </w:rPr>
              <w:t>Scope of Position</w:t>
            </w:r>
          </w:p>
        </w:tc>
      </w:tr>
      <w:tr xmlns:wp14="http://schemas.microsoft.com/office/word/2010/wordml" w:rsidR="00802A7A" w:rsidTr="7981E639" w14:paraId="6D83CDF8" wp14:textId="77777777">
        <w:tc>
          <w:tcPr>
            <w:tcW w:w="2952" w:type="dxa"/>
            <w:tcBorders>
              <w:top w:val="single" w:color="auto" w:sz="12" w:space="0"/>
              <w:left w:val="single" w:color="auto" w:sz="12" w:space="0"/>
              <w:bottom w:val="single" w:color="auto" w:sz="12" w:space="0"/>
              <w:right w:val="single" w:color="auto" w:sz="12" w:space="0"/>
            </w:tcBorders>
            <w:tcMar/>
            <w:vAlign w:val="center"/>
          </w:tcPr>
          <w:p w:rsidR="00802A7A" w:rsidRDefault="00802A7A" w14:paraId="3D5473C6" wp14:textId="77777777">
            <w:pPr>
              <w:rPr>
                <w:b/>
                <w:bCs/>
                <w:sz w:val="22"/>
              </w:rPr>
            </w:pPr>
            <w:r>
              <w:rPr>
                <w:b/>
                <w:bCs/>
                <w:sz w:val="22"/>
              </w:rPr>
              <w:t>Top Environmental Affairs Executive (Corporate)</w:t>
            </w:r>
          </w:p>
        </w:tc>
        <w:tc>
          <w:tcPr>
            <w:tcW w:w="2736" w:type="dxa"/>
            <w:tcBorders>
              <w:top w:val="single" w:color="auto" w:sz="12" w:space="0"/>
              <w:left w:val="single" w:color="auto" w:sz="12" w:space="0"/>
              <w:bottom w:val="single" w:color="auto" w:sz="12" w:space="0"/>
              <w:right w:val="single" w:color="auto" w:sz="12" w:space="0"/>
            </w:tcBorders>
            <w:tcMar/>
          </w:tcPr>
          <w:p w:rsidR="00802A7A" w:rsidRDefault="00802A7A" w14:paraId="672A6659" wp14:textId="77777777">
            <w:pPr>
              <w:rPr>
                <w:sz w:val="18"/>
              </w:rPr>
            </w:pPr>
          </w:p>
          <w:p w:rsidR="00802A7A" w:rsidRDefault="00802A7A" w14:paraId="4EE938CE" wp14:textId="77777777">
            <w:pPr>
              <w:rPr>
                <w:sz w:val="18"/>
              </w:rPr>
            </w:pPr>
            <w:r>
              <w:rPr>
                <w:sz w:val="18"/>
              </w:rPr>
              <w:t>1000</w:t>
            </w:r>
          </w:p>
        </w:tc>
        <w:tc>
          <w:tcPr>
            <w:tcW w:w="8820" w:type="dxa"/>
            <w:tcBorders>
              <w:top w:val="single" w:color="auto" w:sz="12" w:space="0"/>
              <w:left w:val="single" w:color="auto" w:sz="12" w:space="0"/>
              <w:bottom w:val="single" w:color="auto" w:sz="12" w:space="0"/>
              <w:right w:val="single" w:color="auto" w:sz="12" w:space="0"/>
            </w:tcBorders>
            <w:tcMar/>
          </w:tcPr>
          <w:p w:rsidR="00802A7A" w:rsidRDefault="00802A7A" w14:paraId="0A37501D" wp14:textId="77777777">
            <w:pPr>
              <w:rPr>
                <w:sz w:val="8"/>
              </w:rPr>
            </w:pPr>
          </w:p>
          <w:p w:rsidR="00802A7A" w:rsidRDefault="00802A7A" w14:paraId="7F6BF0D2" wp14:textId="77777777">
            <w:pPr>
              <w:rPr>
                <w:sz w:val="18"/>
              </w:rPr>
            </w:pPr>
            <w:r>
              <w:rPr>
                <w:sz w:val="18"/>
              </w:rPr>
              <w:t>The most senior Environmental, Health and Safety executive with responsibilities that span the entire orga</w:t>
            </w:r>
            <w:r>
              <w:rPr>
                <w:sz w:val="18"/>
              </w:rPr>
              <w:softHyphen/>
              <w:t>nization should be assigned to this position.  This position has organization-wide accountability for the devel</w:t>
            </w:r>
            <w:r>
              <w:rPr>
                <w:sz w:val="18"/>
              </w:rPr>
              <w:softHyphen/>
              <w:t>op</w:t>
            </w:r>
            <w:r>
              <w:rPr>
                <w:sz w:val="18"/>
              </w:rPr>
              <w:softHyphen/>
              <w:t>ing and executing a responsible policy to preserve the environment and protect the health and safety of employees and the public within the financial goals of the enterprise.  This position generally reports to the Chief Executive Officer, Chief Operating Officer or to an Executive Vice President in very large organizations.</w:t>
            </w:r>
          </w:p>
          <w:p w:rsidR="00802A7A" w:rsidRDefault="00802A7A" w14:paraId="5DAB6C7B" wp14:textId="77777777">
            <w:pPr>
              <w:rPr>
                <w:sz w:val="8"/>
              </w:rPr>
            </w:pPr>
          </w:p>
        </w:tc>
      </w:tr>
      <w:tr xmlns:wp14="http://schemas.microsoft.com/office/word/2010/wordml" w:rsidR="00802A7A" w:rsidTr="7981E639" w14:paraId="774C549F" wp14:textId="77777777">
        <w:tc>
          <w:tcPr>
            <w:tcW w:w="2952" w:type="dxa"/>
            <w:tcBorders>
              <w:top w:val="single" w:color="auto" w:sz="12" w:space="0"/>
              <w:left w:val="single" w:color="auto" w:sz="12" w:space="0"/>
              <w:bottom w:val="single" w:color="auto" w:sz="12" w:space="0"/>
              <w:right w:val="single" w:color="auto" w:sz="12" w:space="0"/>
            </w:tcBorders>
            <w:tcMar/>
            <w:vAlign w:val="center"/>
          </w:tcPr>
          <w:p w:rsidR="00802A7A" w:rsidRDefault="00802A7A" w14:paraId="6C48B26A" wp14:textId="77777777">
            <w:pPr>
              <w:rPr>
                <w:b/>
                <w:bCs/>
                <w:sz w:val="22"/>
              </w:rPr>
            </w:pPr>
            <w:r>
              <w:rPr>
                <w:b/>
                <w:bCs/>
                <w:sz w:val="22"/>
              </w:rPr>
              <w:t>2</w:t>
            </w:r>
            <w:r>
              <w:rPr>
                <w:b/>
                <w:bCs/>
                <w:sz w:val="22"/>
                <w:vertAlign w:val="superscript"/>
              </w:rPr>
              <w:t>nd</w:t>
            </w:r>
            <w:r>
              <w:rPr>
                <w:b/>
                <w:bCs/>
                <w:sz w:val="22"/>
              </w:rPr>
              <w:t xml:space="preserve"> Level Environmental Affairs Executive (Operating Unit)</w:t>
            </w:r>
          </w:p>
        </w:tc>
        <w:tc>
          <w:tcPr>
            <w:tcW w:w="2736" w:type="dxa"/>
            <w:tcBorders>
              <w:top w:val="single" w:color="auto" w:sz="12" w:space="0"/>
              <w:left w:val="single" w:color="auto" w:sz="12" w:space="0"/>
              <w:bottom w:val="single" w:color="auto" w:sz="12" w:space="0"/>
              <w:right w:val="single" w:color="auto" w:sz="12" w:space="0"/>
            </w:tcBorders>
            <w:tcMar/>
          </w:tcPr>
          <w:p w:rsidR="00802A7A" w:rsidRDefault="00802A7A" w14:paraId="02EB378F" wp14:textId="77777777">
            <w:pPr>
              <w:rPr>
                <w:sz w:val="18"/>
              </w:rPr>
            </w:pPr>
          </w:p>
          <w:p w:rsidR="00802A7A" w:rsidRDefault="00802A7A" w14:paraId="1440B534" wp14:textId="77777777">
            <w:pPr>
              <w:rPr>
                <w:sz w:val="18"/>
              </w:rPr>
            </w:pPr>
            <w:r>
              <w:rPr>
                <w:sz w:val="18"/>
              </w:rPr>
              <w:t>100</w:t>
            </w:r>
            <w:r w:rsidR="00BD05B9">
              <w:rPr>
                <w:sz w:val="18"/>
              </w:rPr>
              <w:t>1</w:t>
            </w:r>
          </w:p>
        </w:tc>
        <w:tc>
          <w:tcPr>
            <w:tcW w:w="8820" w:type="dxa"/>
            <w:tcBorders>
              <w:top w:val="single" w:color="auto" w:sz="12" w:space="0"/>
              <w:left w:val="single" w:color="auto" w:sz="12" w:space="0"/>
              <w:bottom w:val="single" w:color="auto" w:sz="12" w:space="0"/>
              <w:right w:val="single" w:color="auto" w:sz="12" w:space="0"/>
            </w:tcBorders>
            <w:tcMar/>
          </w:tcPr>
          <w:p w:rsidR="00802A7A" w:rsidRDefault="00802A7A" w14:paraId="6A05A809" wp14:textId="77777777">
            <w:pPr>
              <w:rPr>
                <w:sz w:val="8"/>
              </w:rPr>
            </w:pPr>
          </w:p>
          <w:p w:rsidR="00802A7A" w:rsidP="7981E639" w:rsidRDefault="00802A7A" w14:paraId="77305A52" wp14:textId="5C8C51FC">
            <w:pPr>
              <w:rPr>
                <w:sz w:val="18"/>
                <w:szCs w:val="18"/>
              </w:rPr>
            </w:pPr>
            <w:r w:rsidRPr="7981E639" w:rsidR="00802A7A">
              <w:rPr>
                <w:sz w:val="18"/>
                <w:szCs w:val="18"/>
              </w:rPr>
              <w:t>The most senior Environmental, Health and Safety executive with responsibilities that span a major operat</w:t>
            </w:r>
            <w:r w:rsidRPr="7981E639" w:rsidR="00802A7A">
              <w:rPr>
                <w:sz w:val="18"/>
                <w:szCs w:val="18"/>
              </w:rPr>
              <w:t>ing unit with multiple profit centers (Group, Subsidiary, or large autonomous Division)</w:t>
            </w:r>
            <w:r w:rsidRPr="7981E639" w:rsidR="00802A7A">
              <w:rPr>
                <w:b w:val="1"/>
                <w:bCs w:val="1"/>
                <w:sz w:val="18"/>
                <w:szCs w:val="18"/>
              </w:rPr>
              <w:t xml:space="preserve"> </w:t>
            </w:r>
            <w:r w:rsidRPr="7981E639" w:rsidR="00802A7A">
              <w:rPr>
                <w:sz w:val="18"/>
                <w:szCs w:val="18"/>
              </w:rPr>
              <w:t xml:space="preserve">should be assigned to this position level.  This position has accountability for the developing and executing a responsible policy to preserve the environment and protect the health and safety of employees and the public within the financial goals of the enterprise.  </w:t>
            </w:r>
            <w:r w:rsidRPr="7981E639" w:rsidR="0EDF0B8D">
              <w:rPr>
                <w:sz w:val="18"/>
                <w:szCs w:val="18"/>
              </w:rPr>
              <w:t>These</w:t>
            </w:r>
            <w:r w:rsidRPr="7981E639" w:rsidR="00802A7A">
              <w:rPr>
                <w:sz w:val="18"/>
                <w:szCs w:val="18"/>
              </w:rPr>
              <w:t xml:space="preserve"> positions generally report to the Top Environmental Affairs Executive - </w:t>
            </w:r>
            <w:r w:rsidRPr="7981E639" w:rsidR="00802A7A">
              <w:rPr>
                <w:sz w:val="18"/>
                <w:szCs w:val="18"/>
              </w:rPr>
              <w:t>J</w:t>
            </w:r>
            <w:r w:rsidRPr="7981E639" w:rsidR="00802A7A">
              <w:rPr>
                <w:sz w:val="18"/>
                <w:szCs w:val="18"/>
              </w:rPr>
              <w:t>ob Code 1000.</w:t>
            </w:r>
            <w:smartTag w:uri="urn:schemas-microsoft-com:office:smarttags" w:element="PersonName"/>
          </w:p>
          <w:p w:rsidR="00802A7A" w:rsidRDefault="00802A7A" w14:paraId="5A39BBE3" wp14:textId="77777777">
            <w:pPr>
              <w:rPr>
                <w:sz w:val="8"/>
              </w:rPr>
            </w:pPr>
          </w:p>
        </w:tc>
      </w:tr>
      <w:tr xmlns:wp14="http://schemas.microsoft.com/office/word/2010/wordml" w:rsidR="00802A7A" w:rsidTr="7981E639" w14:paraId="0B38BFAF" wp14:textId="77777777">
        <w:tc>
          <w:tcPr>
            <w:tcW w:w="2952" w:type="dxa"/>
            <w:tcBorders>
              <w:top w:val="single" w:color="auto" w:sz="12" w:space="0"/>
              <w:left w:val="single" w:color="auto" w:sz="12" w:space="0"/>
              <w:bottom w:val="single" w:color="auto" w:sz="12" w:space="0"/>
              <w:right w:val="single" w:color="auto" w:sz="12" w:space="0"/>
            </w:tcBorders>
            <w:tcMar/>
            <w:vAlign w:val="center"/>
          </w:tcPr>
          <w:p w:rsidR="00802A7A" w:rsidRDefault="00802A7A" w14:paraId="0CD72CA3" wp14:textId="77777777">
            <w:pPr>
              <w:rPr>
                <w:b/>
                <w:bCs/>
                <w:sz w:val="22"/>
              </w:rPr>
            </w:pPr>
            <w:r>
              <w:rPr>
                <w:b/>
                <w:bCs/>
                <w:sz w:val="22"/>
              </w:rPr>
              <w:t>Top Level EH&amp;S Function Executive (Corporate)</w:t>
            </w:r>
          </w:p>
        </w:tc>
        <w:tc>
          <w:tcPr>
            <w:tcW w:w="2736" w:type="dxa"/>
            <w:tcBorders>
              <w:top w:val="single" w:color="auto" w:sz="12" w:space="0"/>
              <w:left w:val="single" w:color="auto" w:sz="12" w:space="0"/>
              <w:bottom w:val="single" w:color="auto" w:sz="12" w:space="0"/>
              <w:right w:val="single" w:color="auto" w:sz="12" w:space="0"/>
            </w:tcBorders>
            <w:tcMar/>
          </w:tcPr>
          <w:p w:rsidR="00802A7A" w:rsidRDefault="00802A7A" w14:paraId="41C8F396" wp14:textId="77777777">
            <w:pPr>
              <w:rPr>
                <w:sz w:val="18"/>
              </w:rPr>
            </w:pPr>
          </w:p>
          <w:p w:rsidR="00802A7A" w:rsidRDefault="00BD4969" w14:paraId="5A6ECB2A" wp14:textId="77777777">
            <w:pPr>
              <w:rPr>
                <w:sz w:val="18"/>
              </w:rPr>
            </w:pPr>
            <w:r>
              <w:rPr>
                <w:sz w:val="18"/>
              </w:rPr>
              <w:t>1700, 1800, 2500.</w:t>
            </w:r>
          </w:p>
        </w:tc>
        <w:tc>
          <w:tcPr>
            <w:tcW w:w="8820" w:type="dxa"/>
            <w:tcBorders>
              <w:top w:val="single" w:color="auto" w:sz="12" w:space="0"/>
              <w:left w:val="single" w:color="auto" w:sz="12" w:space="0"/>
              <w:bottom w:val="single" w:color="auto" w:sz="12" w:space="0"/>
              <w:right w:val="single" w:color="auto" w:sz="12" w:space="0"/>
            </w:tcBorders>
            <w:tcMar/>
          </w:tcPr>
          <w:p w:rsidR="00802A7A" w:rsidRDefault="00802A7A" w14:paraId="72A3D3EC" wp14:textId="77777777">
            <w:pPr>
              <w:rPr>
                <w:sz w:val="8"/>
              </w:rPr>
            </w:pPr>
          </w:p>
          <w:p w:rsidR="00802A7A" w:rsidRDefault="00802A7A" w14:paraId="2FCD77E6" wp14:textId="77777777">
            <w:pPr>
              <w:rPr>
                <w:sz w:val="18"/>
              </w:rPr>
            </w:pPr>
            <w:r>
              <w:rPr>
                <w:sz w:val="18"/>
              </w:rPr>
              <w:t>This level is reserved for the most senior corporate management positions with responsibility for overall direction of major EH&amp;S functions (e.g., Environmental Sciences, Regulatory Compliance, Industrial Hygiene, Safety, etc.)</w:t>
            </w:r>
            <w:r>
              <w:rPr>
                <w:b/>
                <w:bCs/>
                <w:sz w:val="18"/>
              </w:rPr>
              <w:t xml:space="preserve"> </w:t>
            </w:r>
            <w:r>
              <w:rPr>
                <w:sz w:val="18"/>
              </w:rPr>
              <w:t>that span the entire organization should be assigned to this posi</w:t>
            </w:r>
            <w:r>
              <w:rPr>
                <w:sz w:val="18"/>
              </w:rPr>
              <w:softHyphen/>
              <w:t xml:space="preserve">tion level.  These positions generally report to the Top Environmental Affairs Executive - </w:t>
            </w:r>
            <w:smartTag w:uri="urn:schemas-microsoft-com:office:smarttags" w:element="PersonName">
              <w:r>
                <w:rPr>
                  <w:sz w:val="18"/>
                </w:rPr>
                <w:t>J</w:t>
              </w:r>
            </w:smartTag>
            <w:r>
              <w:rPr>
                <w:sz w:val="18"/>
              </w:rPr>
              <w:t>ob Code 1000 or the most senior executive responsible for all EH&amp;S in the total organization.</w:t>
            </w:r>
          </w:p>
          <w:p w:rsidR="00802A7A" w:rsidRDefault="00802A7A" w14:paraId="0D0B940D" wp14:textId="77777777">
            <w:pPr>
              <w:rPr>
                <w:sz w:val="8"/>
              </w:rPr>
            </w:pPr>
          </w:p>
        </w:tc>
      </w:tr>
      <w:tr xmlns:wp14="http://schemas.microsoft.com/office/word/2010/wordml" w:rsidR="00802A7A" w:rsidTr="7981E639" w14:paraId="3E48967A" wp14:textId="77777777">
        <w:tc>
          <w:tcPr>
            <w:tcW w:w="2952" w:type="dxa"/>
            <w:tcBorders>
              <w:top w:val="single" w:color="auto" w:sz="12" w:space="0"/>
              <w:left w:val="single" w:color="auto" w:sz="12" w:space="0"/>
              <w:bottom w:val="single" w:color="auto" w:sz="12" w:space="0"/>
              <w:right w:val="single" w:color="auto" w:sz="12" w:space="0"/>
            </w:tcBorders>
            <w:tcMar/>
            <w:vAlign w:val="center"/>
          </w:tcPr>
          <w:p w:rsidR="00802A7A" w:rsidRDefault="00802A7A" w14:paraId="744C883F" wp14:textId="77777777">
            <w:pPr>
              <w:rPr>
                <w:b/>
                <w:bCs/>
                <w:sz w:val="22"/>
              </w:rPr>
            </w:pPr>
            <w:r>
              <w:rPr>
                <w:b/>
                <w:bCs/>
                <w:sz w:val="22"/>
              </w:rPr>
              <w:t>2</w:t>
            </w:r>
            <w:r>
              <w:rPr>
                <w:b/>
                <w:bCs/>
                <w:sz w:val="22"/>
                <w:vertAlign w:val="superscript"/>
              </w:rPr>
              <w:t>nd</w:t>
            </w:r>
            <w:r>
              <w:rPr>
                <w:b/>
                <w:bCs/>
                <w:sz w:val="22"/>
              </w:rPr>
              <w:t xml:space="preserve"> Level Function Executive (Operating Unit)</w:t>
            </w:r>
          </w:p>
        </w:tc>
        <w:tc>
          <w:tcPr>
            <w:tcW w:w="2736" w:type="dxa"/>
            <w:tcBorders>
              <w:top w:val="single" w:color="auto" w:sz="12" w:space="0"/>
              <w:left w:val="single" w:color="auto" w:sz="12" w:space="0"/>
              <w:bottom w:val="single" w:color="auto" w:sz="12" w:space="0"/>
              <w:right w:val="single" w:color="auto" w:sz="12" w:space="0"/>
            </w:tcBorders>
            <w:tcMar/>
          </w:tcPr>
          <w:p w:rsidR="00802A7A" w:rsidRDefault="00802A7A" w14:paraId="0E27B00A" wp14:textId="77777777">
            <w:pPr>
              <w:rPr>
                <w:sz w:val="18"/>
              </w:rPr>
            </w:pPr>
          </w:p>
          <w:p w:rsidR="00802A7A" w:rsidRDefault="00BD4969" w14:paraId="122B4A6D" wp14:textId="77777777">
            <w:pPr>
              <w:rPr>
                <w:sz w:val="18"/>
              </w:rPr>
            </w:pPr>
            <w:r>
              <w:rPr>
                <w:sz w:val="18"/>
              </w:rPr>
              <w:t>1201, 1401, 1701, 1801</w:t>
            </w:r>
            <w:r w:rsidR="00802A7A">
              <w:rPr>
                <w:sz w:val="18"/>
              </w:rPr>
              <w:t>, 2501</w:t>
            </w:r>
          </w:p>
        </w:tc>
        <w:tc>
          <w:tcPr>
            <w:tcW w:w="8820" w:type="dxa"/>
            <w:tcBorders>
              <w:top w:val="single" w:color="auto" w:sz="12" w:space="0"/>
              <w:left w:val="single" w:color="auto" w:sz="12" w:space="0"/>
              <w:bottom w:val="single" w:color="auto" w:sz="12" w:space="0"/>
              <w:right w:val="single" w:color="auto" w:sz="12" w:space="0"/>
            </w:tcBorders>
            <w:tcMar/>
          </w:tcPr>
          <w:p w:rsidR="00802A7A" w:rsidRDefault="00802A7A" w14:paraId="60061E4C" wp14:textId="77777777">
            <w:pPr>
              <w:rPr>
                <w:sz w:val="8"/>
              </w:rPr>
            </w:pPr>
          </w:p>
          <w:p w:rsidR="00802A7A" w:rsidRDefault="00802A7A" w14:paraId="2057198F" wp14:textId="77777777">
            <w:pPr>
              <w:rPr>
                <w:sz w:val="18"/>
              </w:rPr>
            </w:pPr>
            <w:r>
              <w:rPr>
                <w:sz w:val="18"/>
              </w:rPr>
              <w:t>This level is for the most senior subsidiary or autonomous division management posi</w:t>
            </w:r>
            <w:r>
              <w:rPr>
                <w:sz w:val="18"/>
              </w:rPr>
              <w:softHyphen/>
              <w:t>tions with responsibility for overall di</w:t>
            </w:r>
            <w:r>
              <w:rPr>
                <w:sz w:val="18"/>
              </w:rPr>
              <w:softHyphen/>
              <w:t>rection of a major EH&amp;S functions (e.g., Environmental Sciences, Regulatory Compliance, Industrial Hygiene, Safety, etc.)</w:t>
            </w:r>
            <w:r>
              <w:rPr>
                <w:b/>
                <w:bCs/>
                <w:sz w:val="18"/>
              </w:rPr>
              <w:t xml:space="preserve"> </w:t>
            </w:r>
            <w:r>
              <w:rPr>
                <w:sz w:val="18"/>
              </w:rPr>
              <w:t>that spans a major operating unit with multiple profit centers (Subsidiary or large diverse operating Division)</w:t>
            </w:r>
            <w:r>
              <w:rPr>
                <w:b/>
                <w:bCs/>
                <w:sz w:val="18"/>
              </w:rPr>
              <w:t xml:space="preserve"> </w:t>
            </w:r>
            <w:r>
              <w:rPr>
                <w:sz w:val="18"/>
              </w:rPr>
              <w:t>should be assigned to this position level.  These positions usually report to the Second Level Environmental Affairs Executive - 1001 or to the most senior EH&amp;S position of the major operating unit or to the corporate top executive re</w:t>
            </w:r>
            <w:r>
              <w:rPr>
                <w:sz w:val="18"/>
              </w:rPr>
              <w:softHyphen/>
              <w:t>sponsible for the EH&amp;S function (e.g., Top Environmental Sciences Executive - 1100, Top Regulatory Compliance Executive - 1200, etc.).</w:t>
            </w:r>
          </w:p>
          <w:p w:rsidR="00802A7A" w:rsidRDefault="00802A7A" w14:paraId="44EAFD9C" wp14:textId="77777777">
            <w:pPr>
              <w:rPr>
                <w:sz w:val="8"/>
              </w:rPr>
            </w:pPr>
          </w:p>
        </w:tc>
      </w:tr>
      <w:tr xmlns:wp14="http://schemas.microsoft.com/office/word/2010/wordml" w:rsidR="00802A7A" w:rsidTr="7981E639" w14:paraId="5FD5B695" wp14:textId="77777777">
        <w:tc>
          <w:tcPr>
            <w:tcW w:w="2952" w:type="dxa"/>
            <w:tcBorders>
              <w:top w:val="single" w:color="auto" w:sz="12" w:space="0"/>
              <w:left w:val="single" w:color="auto" w:sz="12" w:space="0"/>
              <w:bottom w:val="single" w:color="auto" w:sz="12" w:space="0"/>
              <w:right w:val="single" w:color="auto" w:sz="12" w:space="0"/>
            </w:tcBorders>
            <w:tcMar/>
            <w:vAlign w:val="center"/>
          </w:tcPr>
          <w:p w:rsidR="00802A7A" w:rsidRDefault="00802A7A" w14:paraId="42DF2B78" wp14:textId="77777777">
            <w:pPr>
              <w:rPr>
                <w:b/>
                <w:bCs/>
                <w:sz w:val="22"/>
              </w:rPr>
            </w:pPr>
            <w:r>
              <w:rPr>
                <w:b/>
                <w:bCs/>
                <w:sz w:val="22"/>
              </w:rPr>
              <w:t>Manager (Operating Unit)</w:t>
            </w:r>
          </w:p>
        </w:tc>
        <w:tc>
          <w:tcPr>
            <w:tcW w:w="2736" w:type="dxa"/>
            <w:tcBorders>
              <w:top w:val="single" w:color="auto" w:sz="12" w:space="0"/>
              <w:left w:val="single" w:color="auto" w:sz="12" w:space="0"/>
              <w:bottom w:val="single" w:color="auto" w:sz="12" w:space="0"/>
              <w:right w:val="single" w:color="auto" w:sz="12" w:space="0"/>
            </w:tcBorders>
            <w:tcMar/>
          </w:tcPr>
          <w:p w:rsidR="00802A7A" w:rsidRDefault="00802A7A" w14:paraId="4B94D5A5" wp14:textId="77777777">
            <w:pPr>
              <w:rPr>
                <w:sz w:val="18"/>
              </w:rPr>
            </w:pPr>
          </w:p>
          <w:p w:rsidR="00802A7A" w:rsidRDefault="00802A7A" w14:paraId="76A0C679" wp14:textId="77777777">
            <w:pPr>
              <w:rPr>
                <w:sz w:val="18"/>
              </w:rPr>
            </w:pPr>
            <w:r>
              <w:rPr>
                <w:sz w:val="18"/>
              </w:rPr>
              <w:t>1002, 1102, 1202, 1215, 1312, 140</w:t>
            </w:r>
            <w:r w:rsidR="00BD4969">
              <w:rPr>
                <w:sz w:val="18"/>
              </w:rPr>
              <w:t>2, 1502, 1602, 1702, 1802,</w:t>
            </w:r>
            <w:r>
              <w:rPr>
                <w:sz w:val="18"/>
              </w:rPr>
              <w:t xml:space="preserve"> 2002, 2102, 2202, 2402, 2702, 2902.</w:t>
            </w:r>
          </w:p>
        </w:tc>
        <w:tc>
          <w:tcPr>
            <w:tcW w:w="8820" w:type="dxa"/>
            <w:tcBorders>
              <w:top w:val="single" w:color="auto" w:sz="12" w:space="0"/>
              <w:left w:val="single" w:color="auto" w:sz="12" w:space="0"/>
              <w:bottom w:val="single" w:color="auto" w:sz="12" w:space="0"/>
              <w:right w:val="single" w:color="auto" w:sz="12" w:space="0"/>
            </w:tcBorders>
            <w:tcMar/>
          </w:tcPr>
          <w:p w:rsidR="00802A7A" w:rsidRDefault="00802A7A" w14:paraId="3DEEC669" wp14:textId="77777777">
            <w:pPr>
              <w:rPr>
                <w:sz w:val="8"/>
              </w:rPr>
            </w:pPr>
          </w:p>
          <w:p w:rsidR="00802A7A" w:rsidP="7981E639" w:rsidRDefault="00802A7A" w14:paraId="0AB7FEE0" wp14:textId="2DFAF647">
            <w:pPr>
              <w:rPr>
                <w:sz w:val="18"/>
                <w:szCs w:val="18"/>
              </w:rPr>
            </w:pPr>
            <w:r w:rsidRPr="7981E639" w:rsidR="00802A7A">
              <w:rPr>
                <w:sz w:val="18"/>
                <w:szCs w:val="18"/>
              </w:rPr>
              <w:t>A Manager with responsibilities for a</w:t>
            </w:r>
            <w:r w:rsidRPr="7981E639" w:rsidR="389E78B6">
              <w:rPr>
                <w:sz w:val="18"/>
                <w:szCs w:val="18"/>
              </w:rPr>
              <w:t>n</w:t>
            </w:r>
            <w:r w:rsidRPr="7981E639" w:rsidR="00802A7A">
              <w:rPr>
                <w:sz w:val="18"/>
                <w:szCs w:val="18"/>
              </w:rPr>
              <w:t xml:space="preserve"> EH&amp;S function in a single operating unit (small to medium size Division or large Plant, Laboratory, or Department)</w:t>
            </w:r>
            <w:r w:rsidRPr="7981E639" w:rsidR="00802A7A">
              <w:rPr>
                <w:b w:val="1"/>
                <w:bCs w:val="1"/>
                <w:sz w:val="18"/>
                <w:szCs w:val="18"/>
              </w:rPr>
              <w:t xml:space="preserve"> </w:t>
            </w:r>
            <w:r w:rsidRPr="7981E639" w:rsidR="00802A7A">
              <w:rPr>
                <w:sz w:val="18"/>
                <w:szCs w:val="18"/>
              </w:rPr>
              <w:t>should be assigned to this position level.  This level is for a manager po</w:t>
            </w:r>
            <w:r w:rsidRPr="7981E639" w:rsidR="00802A7A">
              <w:rPr>
                <w:sz w:val="18"/>
                <w:szCs w:val="18"/>
              </w:rPr>
              <w:t>si</w:t>
            </w:r>
            <w:r w:rsidRPr="7981E639" w:rsidR="00802A7A">
              <w:rPr>
                <w:sz w:val="18"/>
                <w:szCs w:val="18"/>
              </w:rPr>
              <w:t>tion that reports to the top management position in the operating unit (Vice President, General Manager, Assistant Laboratory Director) or to the subsidiary or autonomous division top executive responsible for the overall di</w:t>
            </w:r>
            <w:r w:rsidRPr="7981E639" w:rsidR="00802A7A">
              <w:rPr>
                <w:sz w:val="18"/>
                <w:szCs w:val="18"/>
              </w:rPr>
              <w:t>rection of the EH&amp;S function (e.g., Second Level Industrial Hygiene Executive - 1401 or Second Level Safety Executive - 1801).  The Manager directs major projects and the supervisors and professional staff of EH&amp;S functions within the operating unit.</w:t>
            </w:r>
          </w:p>
          <w:p w:rsidR="00802A7A" w:rsidRDefault="00802A7A" w14:paraId="3656B9AB" wp14:textId="77777777">
            <w:pPr>
              <w:rPr>
                <w:sz w:val="8"/>
              </w:rPr>
            </w:pPr>
          </w:p>
        </w:tc>
      </w:tr>
      <w:tr xmlns:wp14="http://schemas.microsoft.com/office/word/2010/wordml" w:rsidR="00802A7A" w:rsidTr="7981E639" w14:paraId="2DF57002" wp14:textId="77777777">
        <w:tc>
          <w:tcPr>
            <w:tcW w:w="2952" w:type="dxa"/>
            <w:tcBorders>
              <w:top w:val="single" w:color="auto" w:sz="12" w:space="0"/>
              <w:left w:val="single" w:color="auto" w:sz="12" w:space="0"/>
              <w:bottom w:val="single" w:color="auto" w:sz="12" w:space="0"/>
              <w:right w:val="single" w:color="auto" w:sz="12" w:space="0"/>
            </w:tcBorders>
            <w:tcMar/>
            <w:vAlign w:val="center"/>
          </w:tcPr>
          <w:p w:rsidR="00802A7A" w:rsidRDefault="00802A7A" w14:paraId="14729227" wp14:textId="77777777">
            <w:pPr>
              <w:pStyle w:val="Heading3"/>
            </w:pPr>
            <w:r>
              <w:t>Supervisor</w:t>
            </w:r>
          </w:p>
        </w:tc>
        <w:tc>
          <w:tcPr>
            <w:tcW w:w="2736" w:type="dxa"/>
            <w:tcBorders>
              <w:top w:val="single" w:color="auto" w:sz="12" w:space="0"/>
              <w:left w:val="single" w:color="auto" w:sz="12" w:space="0"/>
              <w:bottom w:val="single" w:color="auto" w:sz="12" w:space="0"/>
              <w:right w:val="single" w:color="auto" w:sz="12" w:space="0"/>
            </w:tcBorders>
            <w:tcMar/>
          </w:tcPr>
          <w:p w:rsidR="00802A7A" w:rsidRDefault="00802A7A" w14:paraId="45FB0818" wp14:textId="77777777">
            <w:pPr>
              <w:rPr>
                <w:sz w:val="18"/>
              </w:rPr>
            </w:pPr>
          </w:p>
          <w:p w:rsidR="00802A7A" w:rsidRDefault="00802A7A" w14:paraId="113304B1" wp14:textId="77777777">
            <w:pPr>
              <w:rPr>
                <w:sz w:val="18"/>
              </w:rPr>
            </w:pPr>
            <w:r>
              <w:rPr>
                <w:sz w:val="18"/>
              </w:rPr>
              <w:t>1003, 1103, 1403, 1703, 1803, 2103, 2703.</w:t>
            </w:r>
          </w:p>
        </w:tc>
        <w:tc>
          <w:tcPr>
            <w:tcW w:w="8820" w:type="dxa"/>
            <w:tcBorders>
              <w:top w:val="single" w:color="auto" w:sz="12" w:space="0"/>
              <w:left w:val="single" w:color="auto" w:sz="12" w:space="0"/>
              <w:bottom w:val="single" w:color="auto" w:sz="12" w:space="0"/>
              <w:right w:val="single" w:color="auto" w:sz="12" w:space="0"/>
            </w:tcBorders>
            <w:tcMar/>
          </w:tcPr>
          <w:p w:rsidR="00802A7A" w:rsidRDefault="00802A7A" w14:paraId="049F31CB" wp14:textId="77777777">
            <w:pPr>
              <w:rPr>
                <w:sz w:val="8"/>
              </w:rPr>
            </w:pPr>
          </w:p>
          <w:p w:rsidR="00802A7A" w:rsidP="60BA9B5A" w:rsidRDefault="00802A7A" w14:paraId="405A89C7" wp14:textId="71DF6C8B">
            <w:pPr>
              <w:rPr>
                <w:sz w:val="18"/>
                <w:szCs w:val="18"/>
              </w:rPr>
            </w:pPr>
            <w:r w:rsidRPr="60BA9B5A" w:rsidR="00802A7A">
              <w:rPr>
                <w:sz w:val="18"/>
                <w:szCs w:val="18"/>
              </w:rPr>
              <w:t xml:space="preserve">A Supervisor with responsibilities for </w:t>
            </w:r>
            <w:r w:rsidRPr="60BA9B5A" w:rsidR="00802A7A">
              <w:rPr>
                <w:sz w:val="18"/>
                <w:szCs w:val="18"/>
              </w:rPr>
              <w:t>a</w:t>
            </w:r>
            <w:r w:rsidRPr="60BA9B5A" w:rsidR="37BC8B1A">
              <w:rPr>
                <w:sz w:val="18"/>
                <w:szCs w:val="18"/>
              </w:rPr>
              <w:t>n</w:t>
            </w:r>
            <w:r w:rsidRPr="60BA9B5A" w:rsidR="00802A7A">
              <w:rPr>
                <w:sz w:val="18"/>
                <w:szCs w:val="18"/>
              </w:rPr>
              <w:t xml:space="preserve"> EH</w:t>
            </w:r>
            <w:r w:rsidRPr="60BA9B5A" w:rsidR="00802A7A">
              <w:rPr>
                <w:sz w:val="18"/>
                <w:szCs w:val="18"/>
              </w:rPr>
              <w:t>&amp;S sub function in a single operating unit (Plant, Laboratory, Facility, Department) should be assigned to this level of position</w:t>
            </w:r>
            <w:r w:rsidRPr="60BA9B5A" w:rsidR="00802A7A">
              <w:rPr>
                <w:sz w:val="18"/>
                <w:szCs w:val="18"/>
              </w:rPr>
              <w:t xml:space="preserve">.  </w:t>
            </w:r>
            <w:r w:rsidRPr="60BA9B5A" w:rsidR="00802A7A">
              <w:rPr>
                <w:sz w:val="18"/>
                <w:szCs w:val="18"/>
              </w:rPr>
              <w:t>This level is for the entry level management positions that report to the Manager position in the operating unit or directly to the Second Level Functional Executive</w:t>
            </w:r>
            <w:r w:rsidRPr="60BA9B5A" w:rsidR="00802A7A">
              <w:rPr>
                <w:sz w:val="18"/>
                <w:szCs w:val="18"/>
              </w:rPr>
              <w:t xml:space="preserve">.  </w:t>
            </w:r>
            <w:r w:rsidRPr="60BA9B5A" w:rsidR="00802A7A">
              <w:rPr>
                <w:sz w:val="18"/>
                <w:szCs w:val="18"/>
              </w:rPr>
              <w:t>An example of this position would be the Supervisor, Industrial Hygiene with Technicians re</w:t>
            </w:r>
            <w:r w:rsidRPr="60BA9B5A" w:rsidR="00802A7A">
              <w:rPr>
                <w:sz w:val="18"/>
                <w:szCs w:val="18"/>
              </w:rPr>
              <w:t>port</w:t>
            </w:r>
            <w:r w:rsidRPr="60BA9B5A" w:rsidR="00802A7A">
              <w:rPr>
                <w:sz w:val="18"/>
                <w:szCs w:val="18"/>
              </w:rPr>
              <w:t>ing directly to the incumbent.</w:t>
            </w:r>
          </w:p>
          <w:p w:rsidR="00802A7A" w:rsidRDefault="00802A7A" w14:paraId="53128261" wp14:textId="77777777">
            <w:pPr>
              <w:rPr>
                <w:sz w:val="8"/>
              </w:rPr>
            </w:pPr>
          </w:p>
        </w:tc>
      </w:tr>
    </w:tbl>
    <w:p xmlns:wp14="http://schemas.microsoft.com/office/word/2010/wordml" w:rsidR="00802A7A" w:rsidRDefault="00802A7A" w14:paraId="62486C05" wp14:textId="77777777"/>
    <w:sectPr w:rsidR="00802A7A" w:rsidSect="00802A7A">
      <w:headerReference w:type="default" r:id="rId7"/>
      <w:footerReference w:type="default" r:id="rId8"/>
      <w:pgSz w:w="15840" w:h="12240" w:orient="landscape" w:code="1"/>
      <w:pgMar w:top="1008" w:right="720" w:bottom="1008" w:left="720" w:header="720" w:footer="93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xmlns:wp14="http://schemas.microsoft.com/office/word/2010/wordml" w:rsidR="00DD6057" w:rsidRDefault="00DD6057" w14:paraId="4B99056E" wp14:textId="77777777">
      <w:r>
        <w:separator/>
      </w:r>
    </w:p>
  </w:endnote>
  <w:endnote w:type="continuationSeparator" w:id="0">
    <w:p xmlns:wp14="http://schemas.microsoft.com/office/word/2010/wordml" w:rsidR="00DD6057" w:rsidRDefault="00DD6057" w14:paraId="1299C43A" wp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xmlns:wp14="http://schemas.microsoft.com/office/word/2010/wordml" w:rsidR="00802A7A" w:rsidRDefault="00802A7A" w14:paraId="3657A907" wp14:textId="77777777">
    <w:pPr>
      <w:pStyle w:val="Footer"/>
    </w:pPr>
    <w:r>
      <w:rPr>
        <w:rFonts w:ascii="Times New Roman" w:hAnsi="Times New Roman" w:cs="Times New Roman"/>
        <w:b/>
        <w:bCs/>
        <w:i/>
        <w:iCs/>
        <w:color w:val="0000FF"/>
        <w:sz w:val="28"/>
      </w:rPr>
      <w:t>Foushée Group, Inc.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xmlns:wp14="http://schemas.microsoft.com/office/word/2010/wordml" w:rsidR="00DD6057" w:rsidRDefault="00DD6057" w14:paraId="4DDBEF00" wp14:textId="77777777">
      <w:r>
        <w:separator/>
      </w:r>
    </w:p>
  </w:footnote>
  <w:footnote w:type="continuationSeparator" w:id="0">
    <w:p xmlns:wp14="http://schemas.microsoft.com/office/word/2010/wordml" w:rsidR="00DD6057" w:rsidRDefault="00DD6057" w14:paraId="3461D779" wp14:textId="777777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xmlns:wp14="http://schemas.microsoft.com/office/word/2010/wordml" w:rsidR="00802A7A" w:rsidRDefault="00802A7A" w14:paraId="3583B9AC" wp14:textId="77777777">
    <w:pPr>
      <w:pStyle w:val="Header"/>
      <w:jc w:val="center"/>
      <w:rPr>
        <w:i/>
        <w:iCs/>
        <w:color w:val="0000FF"/>
        <w:sz w:val="32"/>
      </w:rPr>
    </w:pPr>
    <w:r>
      <w:rPr>
        <w:rFonts w:ascii="Times New Roman" w:hAnsi="Times New Roman" w:cs="Times New Roman"/>
        <w:b/>
        <w:bCs/>
        <w:i/>
        <w:iCs/>
        <w:color w:val="0000FF"/>
        <w:sz w:val="32"/>
      </w:rPr>
      <w:t>Environmental, Health and Safety Compensation Survey</w:t>
    </w:r>
  </w:p>
  <w:p xmlns:wp14="http://schemas.microsoft.com/office/word/2010/wordml" w:rsidR="00802A7A" w:rsidRDefault="00802A7A" w14:paraId="67BBEE54" wp14:textId="77777777">
    <w:pPr>
      <w:pStyle w:val="Heading2"/>
      <w:rPr>
        <w:rFonts w:ascii="Times New Roman" w:hAnsi="Times New Roman" w:cs="Times New Roman"/>
        <w:sz w:val="28"/>
      </w:rPr>
    </w:pPr>
    <w:r>
      <w:rPr>
        <w:rFonts w:ascii="Times New Roman" w:hAnsi="Times New Roman" w:cs="Times New Roman"/>
        <w:sz w:val="28"/>
      </w:rPr>
      <w:t>Leveling Guide for Management Positions</w:t>
    </w:r>
  </w:p>
  <w:p xmlns:wp14="http://schemas.microsoft.com/office/word/2010/wordml" w:rsidR="00802A7A" w:rsidRDefault="00802A7A" w14:paraId="4101652C" wp14:textId="77777777">
    <w:pPr>
      <w:rPr>
        <w:sz w:val="8"/>
      </w:rPr>
    </w:pPr>
  </w:p>
</w:hdr>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15="http://schemas.microsoft.com/office/word/2012/wordml" mc:Ignorable="w14 wp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1D6E"/>
    <w:rsid w:val="00061932"/>
    <w:rsid w:val="00077863"/>
    <w:rsid w:val="001755C7"/>
    <w:rsid w:val="001F117A"/>
    <w:rsid w:val="00364D7B"/>
    <w:rsid w:val="003B5B88"/>
    <w:rsid w:val="00623652"/>
    <w:rsid w:val="006378A6"/>
    <w:rsid w:val="00754FE5"/>
    <w:rsid w:val="00802A7A"/>
    <w:rsid w:val="008C1D6E"/>
    <w:rsid w:val="00B235D0"/>
    <w:rsid w:val="00BD05B9"/>
    <w:rsid w:val="00BD4969"/>
    <w:rsid w:val="00C77A8C"/>
    <w:rsid w:val="00CF008B"/>
    <w:rsid w:val="00DD6057"/>
    <w:rsid w:val="00E61A7F"/>
    <w:rsid w:val="00E62D98"/>
    <w:rsid w:val="0EDF0B8D"/>
    <w:rsid w:val="37BC8B1A"/>
    <w:rsid w:val="389E78B6"/>
    <w:rsid w:val="60BA9B5A"/>
    <w:rsid w:val="7981E6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14:docId w14:val="73A85F26"/>
  <w15:docId w15:val="{6EAD339D-DE7F-463C-93CA-669915094996}"/>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mc:Ignorable="w14 wp14">
  <w:docDefaults>
    <w:rPrDefault>
      <w:rPr>
        <w:rFonts w:ascii="Times New Roman" w:hAnsi="Times New Roman" w:eastAsia="Times New Roman" w:cs="Times New Roman"/>
        <w:lang w:val="en-US" w:eastAsia="en-US" w:bidi="ar-SA"/>
      </w:rPr>
    </w:rPrDefault>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semiHidden="0" w:unhideWhenUsed="0" w:qFormat="1"/>
    <w:lsdException w:name="heading 3" w:uiPriority="9"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Pr>
      <w:rFonts w:ascii="Arial" w:hAnsi="Arial" w:cs="Arial"/>
      <w:sz w:val="24"/>
      <w:szCs w:val="24"/>
    </w:rPr>
  </w:style>
  <w:style w:type="paragraph" w:styleId="Heading1">
    <w:name w:val="heading 1"/>
    <w:basedOn w:val="Normal"/>
    <w:next w:val="Normal"/>
    <w:link w:val="Heading1Char"/>
    <w:uiPriority w:val="9"/>
    <w:qFormat/>
    <w:pPr>
      <w:keepNext/>
      <w:outlineLvl w:val="0"/>
    </w:pPr>
    <w:rPr>
      <w:b/>
      <w:bCs/>
    </w:rPr>
  </w:style>
  <w:style w:type="paragraph" w:styleId="Heading2">
    <w:name w:val="heading 2"/>
    <w:basedOn w:val="Normal"/>
    <w:next w:val="Normal"/>
    <w:link w:val="Heading2Char"/>
    <w:uiPriority w:val="9"/>
    <w:qFormat/>
    <w:pPr>
      <w:keepNext/>
      <w:jc w:val="center"/>
      <w:outlineLvl w:val="1"/>
    </w:pPr>
    <w:rPr>
      <w:b/>
      <w:bCs/>
    </w:rPr>
  </w:style>
  <w:style w:type="paragraph" w:styleId="Heading3">
    <w:name w:val="heading 3"/>
    <w:basedOn w:val="Normal"/>
    <w:next w:val="Normal"/>
    <w:link w:val="Heading3Char"/>
    <w:uiPriority w:val="9"/>
    <w:qFormat/>
    <w:pPr>
      <w:keepNext/>
      <w:outlineLvl w:val="2"/>
    </w:pPr>
    <w:rPr>
      <w:b/>
      <w:bCs/>
      <w:sz w:val="2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DA02D9"/>
    <w:rPr>
      <w:rFonts w:asciiTheme="majorHAnsi" w:hAnsiTheme="majorHAnsi" w:eastAsiaTheme="majorEastAsia" w:cstheme="majorBidi"/>
      <w:b/>
      <w:bCs/>
      <w:kern w:val="32"/>
      <w:sz w:val="32"/>
      <w:szCs w:val="32"/>
    </w:rPr>
  </w:style>
  <w:style w:type="character" w:styleId="Heading2Char" w:customStyle="1">
    <w:name w:val="Heading 2 Char"/>
    <w:basedOn w:val="DefaultParagraphFont"/>
    <w:link w:val="Heading2"/>
    <w:uiPriority w:val="9"/>
    <w:semiHidden/>
    <w:rsid w:val="00DA02D9"/>
    <w:rPr>
      <w:rFonts w:asciiTheme="majorHAnsi" w:hAnsiTheme="majorHAnsi" w:eastAsiaTheme="majorEastAsia" w:cstheme="majorBidi"/>
      <w:b/>
      <w:bCs/>
      <w:i/>
      <w:iCs/>
      <w:sz w:val="28"/>
      <w:szCs w:val="28"/>
    </w:rPr>
  </w:style>
  <w:style w:type="character" w:styleId="Heading3Char" w:customStyle="1">
    <w:name w:val="Heading 3 Char"/>
    <w:basedOn w:val="DefaultParagraphFont"/>
    <w:link w:val="Heading3"/>
    <w:uiPriority w:val="9"/>
    <w:semiHidden/>
    <w:rsid w:val="00DA02D9"/>
    <w:rPr>
      <w:rFonts w:asciiTheme="majorHAnsi" w:hAnsiTheme="majorHAnsi" w:eastAsiaTheme="majorEastAsia" w:cstheme="majorBidi"/>
      <w:b/>
      <w:bCs/>
      <w:sz w:val="26"/>
      <w:szCs w:val="26"/>
    </w:rPr>
  </w:style>
  <w:style w:type="paragraph" w:styleId="Header">
    <w:name w:val="header"/>
    <w:basedOn w:val="Normal"/>
    <w:link w:val="HeaderChar"/>
    <w:uiPriority w:val="99"/>
    <w:pPr>
      <w:tabs>
        <w:tab w:val="center" w:pos="4320"/>
        <w:tab w:val="right" w:pos="8640"/>
      </w:tabs>
    </w:pPr>
  </w:style>
  <w:style w:type="character" w:styleId="HeaderChar" w:customStyle="1">
    <w:name w:val="Header Char"/>
    <w:basedOn w:val="DefaultParagraphFont"/>
    <w:link w:val="Header"/>
    <w:uiPriority w:val="99"/>
    <w:semiHidden/>
    <w:rsid w:val="00DA02D9"/>
    <w:rPr>
      <w:rFonts w:ascii="Arial" w:hAnsi="Arial" w:cs="Arial"/>
      <w:sz w:val="24"/>
      <w:szCs w:val="24"/>
    </w:rPr>
  </w:style>
  <w:style w:type="paragraph" w:styleId="Footer">
    <w:name w:val="footer"/>
    <w:basedOn w:val="Normal"/>
    <w:link w:val="FooterChar"/>
    <w:uiPriority w:val="99"/>
    <w:pPr>
      <w:tabs>
        <w:tab w:val="center" w:pos="4320"/>
        <w:tab w:val="right" w:pos="8640"/>
      </w:tabs>
    </w:pPr>
  </w:style>
  <w:style w:type="character" w:styleId="FooterChar" w:customStyle="1">
    <w:name w:val="Footer Char"/>
    <w:basedOn w:val="DefaultParagraphFont"/>
    <w:link w:val="Footer"/>
    <w:uiPriority w:val="99"/>
    <w:semiHidden/>
    <w:rsid w:val="00DA02D9"/>
    <w:rPr>
      <w:rFonts w:ascii="Arial"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4"/>
      <w:szCs w:val="24"/>
    </w:rPr>
  </w:style>
  <w:style w:type="paragraph" w:styleId="Heading1">
    <w:name w:val="heading 1"/>
    <w:basedOn w:val="Normal"/>
    <w:next w:val="Normal"/>
    <w:link w:val="Heading1Char"/>
    <w:uiPriority w:val="9"/>
    <w:qFormat/>
    <w:pPr>
      <w:keepNext/>
      <w:outlineLvl w:val="0"/>
    </w:pPr>
    <w:rPr>
      <w:b/>
      <w:bCs/>
    </w:rPr>
  </w:style>
  <w:style w:type="paragraph" w:styleId="Heading2">
    <w:name w:val="heading 2"/>
    <w:basedOn w:val="Normal"/>
    <w:next w:val="Normal"/>
    <w:link w:val="Heading2Char"/>
    <w:uiPriority w:val="9"/>
    <w:qFormat/>
    <w:pPr>
      <w:keepNext/>
      <w:jc w:val="center"/>
      <w:outlineLvl w:val="1"/>
    </w:pPr>
    <w:rPr>
      <w:b/>
      <w:bCs/>
    </w:rPr>
  </w:style>
  <w:style w:type="paragraph" w:styleId="Heading3">
    <w:name w:val="heading 3"/>
    <w:basedOn w:val="Normal"/>
    <w:next w:val="Normal"/>
    <w:link w:val="Heading3Char"/>
    <w:uiPriority w:val="9"/>
    <w:qFormat/>
    <w:pPr>
      <w:keepNext/>
      <w:outlineLvl w:val="2"/>
    </w:pPr>
    <w:rPr>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A02D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DA02D9"/>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DA02D9"/>
    <w:rPr>
      <w:rFonts w:asciiTheme="majorHAnsi" w:eastAsiaTheme="majorEastAsia" w:hAnsiTheme="majorHAnsi" w:cstheme="majorBidi"/>
      <w:b/>
      <w:bCs/>
      <w:sz w:val="26"/>
      <w:szCs w:val="26"/>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semiHidden/>
    <w:rsid w:val="00DA02D9"/>
    <w:rPr>
      <w:rFonts w:ascii="Arial" w:hAnsi="Arial" w:cs="Arial"/>
      <w:sz w:val="24"/>
      <w:szCs w:val="24"/>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semiHidden/>
    <w:rsid w:val="00DA02D9"/>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customXml" Target="../customXml/item3.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customXml" Target="../customXml/item2.xml" Id="rId12"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customXml" Target="../customXml/item1.xml" Id="rId11" /><Relationship Type="http://schemas.openxmlformats.org/officeDocument/2006/relationships/footnotes" Target="footnotes.xml"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9713676E111643989B527FEF6198BE" ma:contentTypeVersion="12" ma:contentTypeDescription="Create a new document." ma:contentTypeScope="" ma:versionID="dff710e772aa8de6fb55f3898902256a">
  <xsd:schema xmlns:xsd="http://www.w3.org/2001/XMLSchema" xmlns:xs="http://www.w3.org/2001/XMLSchema" xmlns:p="http://schemas.microsoft.com/office/2006/metadata/properties" xmlns:ns2="dcf06901-f7ba-4003-bd05-170c9918da57" xmlns:ns3="2df3dfc0-7f77-4f3f-8f5d-193b39c17266" targetNamespace="http://schemas.microsoft.com/office/2006/metadata/properties" ma:root="true" ma:fieldsID="94ea2f8110acc485ced7f36e11ee32d6" ns2:_="" ns3:_="">
    <xsd:import namespace="dcf06901-f7ba-4003-bd05-170c9918da57"/>
    <xsd:import namespace="2df3dfc0-7f77-4f3f-8f5d-193b39c1726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f06901-f7ba-4003-bd05-170c9918da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c25e262f-d63e-467b-b0c1-0f64064707aa"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df3dfc0-7f77-4f3f-8f5d-193b39c1726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1ab8b2e8-ef4f-40c3-8dfb-617cd6f17354}" ma:internalName="TaxCatchAll" ma:showField="CatchAllData" ma:web="2df3dfc0-7f77-4f3f-8f5d-193b39c17266">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df3dfc0-7f77-4f3f-8f5d-193b39c17266" xsi:nil="true"/>
    <lcf76f155ced4ddcb4097134ff3c332f xmlns="dcf06901-f7ba-4003-bd05-170c9918da5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16696F7-421C-4CC4-B91C-811DF72E7DE9}"/>
</file>

<file path=customXml/itemProps2.xml><?xml version="1.0" encoding="utf-8"?>
<ds:datastoreItem xmlns:ds="http://schemas.openxmlformats.org/officeDocument/2006/customXml" ds:itemID="{A6FB737A-876E-4C32-8311-3C863477181D}"/>
</file>

<file path=customXml/itemProps3.xml><?xml version="1.0" encoding="utf-8"?>
<ds:datastoreItem xmlns:ds="http://schemas.openxmlformats.org/officeDocument/2006/customXml" ds:itemID="{1B1639C1-056B-4ED1-8CF8-CD510B758635}"/>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Foushée Group, Inc.</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Levels</dc:title>
  <dc:creator>Jim Foushée</dc:creator>
  <lastModifiedBy>Scott McNerney</lastModifiedBy>
  <revision>4</revision>
  <lastPrinted>2001-02-07T01:00:00.0000000Z</lastPrinted>
  <dcterms:created xsi:type="dcterms:W3CDTF">2023-03-20T21:03:00.0000000Z</dcterms:created>
  <dcterms:modified xsi:type="dcterms:W3CDTF">2024-04-15T17:07:42.3911832Z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0x010100369713676E111643989B527FEF6198BE</vt:lpwstr>
  </property>
  <property fmtid="{D5CDD505-2E9C-101B-9397-08002B2CF9AE}" pid="3" name="MediaServiceImageTags">
    <vt:lpwstr/>
  </property>
</Properties>
</file>